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B40" w:rsidRPr="000637BB" w:rsidRDefault="00B16B40" w:rsidP="00B16B40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0637BB">
        <w:rPr>
          <w:rFonts w:ascii="Times New Roman" w:hAnsi="Times New Roman" w:cs="Times New Roman"/>
        </w:rPr>
        <w:t>Паспорт</w:t>
      </w:r>
    </w:p>
    <w:p w:rsidR="00B16B40" w:rsidRPr="000637BB" w:rsidRDefault="00B16B40" w:rsidP="00B16B40">
      <w:pPr>
        <w:pStyle w:val="ConsPlusTitle"/>
        <w:jc w:val="center"/>
        <w:rPr>
          <w:rFonts w:ascii="Times New Roman" w:hAnsi="Times New Roman" w:cs="Times New Roman"/>
        </w:rPr>
      </w:pPr>
      <w:r w:rsidRPr="000637BB">
        <w:rPr>
          <w:rFonts w:ascii="Times New Roman" w:hAnsi="Times New Roman" w:cs="Times New Roman"/>
        </w:rPr>
        <w:t>государственной программы Ханты-Мансийского</w:t>
      </w:r>
    </w:p>
    <w:p w:rsidR="00B16B40" w:rsidRPr="000637BB" w:rsidRDefault="00B16B40" w:rsidP="00B16B40">
      <w:pPr>
        <w:pStyle w:val="ConsPlusTitle"/>
        <w:jc w:val="center"/>
        <w:rPr>
          <w:rFonts w:ascii="Times New Roman" w:hAnsi="Times New Roman" w:cs="Times New Roman"/>
        </w:rPr>
      </w:pPr>
      <w:r w:rsidRPr="000637BB">
        <w:rPr>
          <w:rFonts w:ascii="Times New Roman" w:hAnsi="Times New Roman" w:cs="Times New Roman"/>
        </w:rPr>
        <w:t>автономного округа - Югры "Развитие образования"</w:t>
      </w:r>
    </w:p>
    <w:p w:rsidR="00B16B40" w:rsidRPr="000637BB" w:rsidRDefault="00B16B40" w:rsidP="00B16B40">
      <w:pPr>
        <w:pStyle w:val="ConsPlusTitle"/>
        <w:jc w:val="center"/>
        <w:rPr>
          <w:rFonts w:ascii="Times New Roman" w:hAnsi="Times New Roman" w:cs="Times New Roman"/>
        </w:rPr>
      </w:pPr>
      <w:r w:rsidRPr="000637BB">
        <w:rPr>
          <w:rFonts w:ascii="Times New Roman" w:hAnsi="Times New Roman" w:cs="Times New Roman"/>
        </w:rPr>
        <w:t>(далее - государственная программа)</w:t>
      </w:r>
    </w:p>
    <w:p w:rsidR="00B16B40" w:rsidRPr="000637BB" w:rsidRDefault="00B16B40" w:rsidP="00B16B40">
      <w:pPr>
        <w:pStyle w:val="ConsPlusNormal"/>
        <w:jc w:val="both"/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969"/>
        <w:gridCol w:w="3119"/>
      </w:tblGrid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Наименование 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Развитие образования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  <w:r w:rsidRPr="000637BB">
              <w:t>Постановление Правительства Ханты-Мансийского автономного округа - Югры от 5 октября 2018 года N 338-п "О государственной программе Ханты-Мансийского автономного округа - Югры "Развитие образования"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Ответственный исполнитель 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 xml:space="preserve">Департамент образования и молодежной политики Ханты-Мансийского автономного округа - Югры (далее - </w:t>
            </w:r>
            <w:proofErr w:type="spellStart"/>
            <w:r w:rsidRPr="000637BB">
              <w:t>Депобразования</w:t>
            </w:r>
            <w:proofErr w:type="spellEnd"/>
            <w:r w:rsidRPr="000637BB">
              <w:t xml:space="preserve"> и молодежи Югры)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Соисполнители 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 xml:space="preserve">Департамент здравоохранения Ханты-Мансийского автономного округа - Югры (далее - </w:t>
            </w:r>
            <w:proofErr w:type="spellStart"/>
            <w:r w:rsidRPr="000637BB">
              <w:t>Депздрав</w:t>
            </w:r>
            <w:proofErr w:type="spellEnd"/>
            <w:r w:rsidRPr="000637BB">
              <w:t xml:space="preserve"> Югры);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Аппарат Губернатора Ханты-Мансийского автономного округа - Югры (далее - Аппарат Губернатора Югры);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 xml:space="preserve">Департамент строительства Ханты-Мансийского автономного округа - Югры (далее - </w:t>
            </w:r>
            <w:proofErr w:type="spellStart"/>
            <w:r w:rsidRPr="000637BB">
              <w:t>Депстрой</w:t>
            </w:r>
            <w:proofErr w:type="spellEnd"/>
            <w:r w:rsidRPr="000637BB">
              <w:t xml:space="preserve"> Югры);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Департамент по управлению государственным имуществом Ханты-Мансийского автономного округа - Югры (далее - Депимущества Югры);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 xml:space="preserve">Служба по контролю и надзору в сфере образования Ханты-Мансийского автономного округа - Югры (далее - </w:t>
            </w:r>
            <w:proofErr w:type="spellStart"/>
            <w:r w:rsidRPr="000637BB">
              <w:t>Обрнадзор</w:t>
            </w:r>
            <w:proofErr w:type="spellEnd"/>
            <w:r w:rsidRPr="000637BB">
              <w:t xml:space="preserve"> Югры)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Цели 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1. 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Ханты-Мансийского автономного округа - Югры (далее - автономный округ).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2. Повышение эффективности реализации молодежной политики в интересах инновационного социально ориентированного развития автономного округа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Задачи 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1. Модернизация системы профессионального образования, обеспечивающая текущие и перспективные потребности социально-экономического развития автономного округа.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2. Модернизация системы дошкольного, общего и дополнительного образования детей.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3.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lastRenderedPageBreak/>
              <w:t>4. Обеспечение эффективной системы социализации и самореализации молодежи, развитие ее потенциала.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5. Развитие инфраструктуры и организационно-</w:t>
            </w:r>
            <w:proofErr w:type="gramStart"/>
            <w:r w:rsidRPr="000637BB">
              <w:t>экономических механизмов</w:t>
            </w:r>
            <w:proofErr w:type="gramEnd"/>
            <w:r w:rsidRPr="000637BB">
              <w:t>, обеспечивающих равную доступность услуг дошкольного, общего и дополнительного образования детей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lastRenderedPageBreak/>
              <w:t>Подпрограммы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3816AD" w:rsidP="00B41DED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hyperlink w:anchor="Par795" w:tooltip="Подпрограмма I. Профессиональное образование, наука и технологии" w:history="1">
              <w:r w:rsidR="00B16B40" w:rsidRPr="000637BB">
                <w:rPr>
                  <w:color w:val="000000" w:themeColor="text1"/>
                </w:rPr>
                <w:t>Подпрограмма I</w:t>
              </w:r>
            </w:hyperlink>
            <w:r w:rsidR="00B16B40" w:rsidRPr="000637BB">
              <w:rPr>
                <w:color w:val="000000" w:themeColor="text1"/>
              </w:rPr>
              <w:t>. "Профессиональное образование, наука и технологии".</w:t>
            </w:r>
          </w:p>
          <w:p w:rsidR="00B16B40" w:rsidRPr="000637BB" w:rsidRDefault="003816AD" w:rsidP="00B41DED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hyperlink w:anchor="Par1120" w:tooltip="Подпрограмма II. Общее образование. Дополнительное образование детей" w:history="1">
              <w:r w:rsidR="00B16B40" w:rsidRPr="000637BB">
                <w:rPr>
                  <w:color w:val="000000" w:themeColor="text1"/>
                </w:rPr>
                <w:t>Подпрограмма II</w:t>
              </w:r>
            </w:hyperlink>
            <w:r w:rsidR="00B16B40" w:rsidRPr="000637BB">
              <w:rPr>
                <w:color w:val="000000" w:themeColor="text1"/>
              </w:rPr>
              <w:t>. "Общее образование. Дополнительное образование детей".</w:t>
            </w:r>
          </w:p>
          <w:p w:rsidR="00B16B40" w:rsidRPr="000637BB" w:rsidRDefault="003816AD" w:rsidP="00B41DED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hyperlink w:anchor="Par2350" w:tooltip="Подпрограмма III. Система оценки качества образования и информационная прозрачность системы образования" w:history="1">
              <w:r w:rsidR="00B16B40" w:rsidRPr="000637BB">
                <w:rPr>
                  <w:color w:val="000000" w:themeColor="text1"/>
                </w:rPr>
                <w:t>Подпрограмма III</w:t>
              </w:r>
            </w:hyperlink>
            <w:r w:rsidR="00B16B40" w:rsidRPr="000637BB">
              <w:rPr>
                <w:color w:val="000000" w:themeColor="text1"/>
              </w:rPr>
              <w:t>. "Система оценки качества образования и информационная прозрачность системы образования".</w:t>
            </w:r>
          </w:p>
          <w:p w:rsidR="00B16B40" w:rsidRPr="000637BB" w:rsidRDefault="003816AD" w:rsidP="00B41DED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hyperlink w:anchor="Par2559" w:tooltip="Подпрограмма IV. Молодежь Югры и допризывная подготовка" w:history="1">
              <w:r w:rsidR="00B16B40" w:rsidRPr="000637BB">
                <w:rPr>
                  <w:color w:val="000000" w:themeColor="text1"/>
                </w:rPr>
                <w:t>Подпрограмма IV</w:t>
              </w:r>
            </w:hyperlink>
            <w:r w:rsidR="00B16B40" w:rsidRPr="000637BB">
              <w:rPr>
                <w:color w:val="000000" w:themeColor="text1"/>
              </w:rPr>
              <w:t>. "Молодежь Югры и допризывная подготовка".</w:t>
            </w:r>
          </w:p>
          <w:p w:rsidR="00B16B40" w:rsidRPr="000637BB" w:rsidRDefault="003816AD" w:rsidP="00B41DED">
            <w:pPr>
              <w:pStyle w:val="ConsPlusNormal"/>
              <w:ind w:firstLine="283"/>
              <w:jc w:val="both"/>
            </w:pPr>
            <w:hyperlink w:anchor="Par2877" w:tooltip="Подпрограмма V. Ресурсное обеспечение в сфере образования, науки и молодежной политики" w:history="1">
              <w:r w:rsidR="00B16B40" w:rsidRPr="000637BB">
                <w:rPr>
                  <w:color w:val="000000" w:themeColor="text1"/>
                </w:rPr>
                <w:t>Подпрограмма V</w:t>
              </w:r>
            </w:hyperlink>
            <w:r w:rsidR="00B16B40" w:rsidRPr="000637BB">
              <w:rPr>
                <w:color w:val="000000" w:themeColor="text1"/>
              </w:rPr>
              <w:t>. "Ресурсное обеспечение в сфере образования, науки и м</w:t>
            </w:r>
            <w:r w:rsidR="00B16B40" w:rsidRPr="000637BB">
              <w:t>олодежной политики"</w:t>
            </w:r>
          </w:p>
        </w:tc>
      </w:tr>
      <w:tr w:rsidR="00B16B40" w:rsidRPr="000637BB" w:rsidTr="000672DE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  <w:r w:rsidRPr="000637BB">
              <w:t>Портфели проектов, проекты автономного округа, входящие в состав государственной программы, в том числе, направленные,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портфель проектов "Образование" -</w:t>
            </w:r>
          </w:p>
        </w:tc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16B40" w:rsidRPr="000637BB" w:rsidRDefault="00B16B40" w:rsidP="00B16B40">
            <w:pPr>
              <w:pStyle w:val="ConsPlusNormal"/>
              <w:jc w:val="both"/>
            </w:pPr>
            <w:r w:rsidRPr="000637BB">
              <w:t>44 755 132,14 тыс. рублей, в том числе: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"Современная школа"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41 991 357,14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"Успех каждого ребенка"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983 675,70 тыс.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"Поддержка семей, имеющих детей"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19 000,00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"Цифровая образовательная среда"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661 171,10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"Учитель будущего"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286 009,10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proofErr w:type="gramStart"/>
            <w:r w:rsidRPr="000637BB">
              <w:t>региональный проект "Молодые профессионалы (повышение конкурентоспособности</w:t>
            </w:r>
            <w:proofErr w:type="gramEnd"/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профессионального образования)"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 xml:space="preserve"> 710 341,60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"Новые возможности для каждого"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0,00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"Социальная активность"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103 577,50 тыс. рублей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портфель проектов "Демография" -</w:t>
            </w:r>
          </w:p>
        </w:tc>
        <w:tc>
          <w:tcPr>
            <w:tcW w:w="3119" w:type="dxa"/>
            <w:tcBorders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3 684 114,1 тыс. рублей, в том числе:</w:t>
            </w:r>
          </w:p>
        </w:tc>
      </w:tr>
      <w:tr w:rsidR="00B16B40" w:rsidRPr="000637BB" w:rsidTr="000672DE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>региональный проект "Содействие занятости женщин - создание условий дошкольного образования для детей в возрасте до трех лет" -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16B40" w:rsidRPr="000637BB" w:rsidRDefault="00B16B40" w:rsidP="00B41DED">
            <w:pPr>
              <w:pStyle w:val="ConsPlusNormal"/>
            </w:pPr>
            <w:r w:rsidRPr="000637BB">
              <w:t>3 684 114,1 тыс. рублей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jc w:val="both"/>
            </w:pPr>
            <w:r w:rsidRPr="000637BB">
              <w:lastRenderedPageBreak/>
              <w:t>Целевые показатели 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1. Обеспечение доли выпускников профессиональных образовательных организаций и образовательных организаций высшего образования очной формы обучения, трудоустроившихся в течение 1 года после окончания обучения по полученной специальности (профессии), в общей численности выпускников профессионального образования очной формы обучения не менее 60% ежегодно.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2. Увеличение доли образовательных организаций высшего образования во внутренних затратах на исследования и разработки с 8,5% до 11,4%.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3. Обеспечение доли административно-управленческого и педагогического персонала общеобразовательных организаций, прошедших подготовку или повышение квалификации по программам менеджмента в образовании и (или) для работы в соответствии с федеральными государственными образовательными стандартами, ежегодно не менее 33%.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4. Обеспечение доли занятого населения в возрасте от 25 до 65 лет, прошедшего повышение квалификации и (или) профессиональную подготовку, от общей численности занятого в области экономики населения этой возрастной группы ежегодно не менее 37%.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5. Увеличение доступности дошкольного образования для детей в возрасте от 1,5 до 3 лет с 74,7% до 100%.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6. Увеличение обеспеченности детей дошкольного возраста местами в дошкольных образовательных организациях (количество мест на 1000 детей) с 711 до 716 мест.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7. Снижение отношения среднего балла единого государственного экзамена (в расчете на 2 обязательных предмета) в 10% школ с лучшими результатами единого государственного экзамена к среднему баллу единого государственного экзамена (в расчете на 2 обязательных предмета) в 10% школ с худшими результатами единого государственного экзамена с 1,41 до 1,29 раза.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8. Увеличение доли детей в возрасте от 5 до 18 лет, охваченных дополнительным образованием, с 72% до 80%.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9. Увеличение доли молодежи в возрасте от 14 до 30 лет, задействованной в мероприятиях общественных объединений, с 23,7% до 26,7%.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10. Увеличение доли граждан, вовлеченных в добровольческую деятельность, с 0,8% до 23%.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11. Увеличение доли детей в возрасте от 6 до 17 лет (включительно), охваченных всеми формами отдыха и оздоровления, от общей численности детей, нуждающихся в оздоровлении, с 96,5% до 98%.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12. Снижение доли государственных (муниципальных) образовательных организаций, реализующих программы общего образования, здания которых находятся в аварийном состоянии или требуют капитального ремонта, в общей численности государственных (муниципальных) образовательных организаций, реализующих программы общего образования, с 8,4% до 5,6%.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 xml:space="preserve">13. Увеличение доли государственных (муниципальных) </w:t>
            </w:r>
            <w:r w:rsidRPr="000637BB">
              <w:lastRenderedPageBreak/>
              <w:t>общеобразовательных организаций, соответствующих современным требованиям обучения, в общем количестве государственных (муниципальных) общеобразовательных организаций с 91,1% до 98%.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14. Обеспечение доли средств бюджета автономного округа, выделяемых негосударственным организациям, в том числе социально ориентированным некоммерческим организациям, на предоставление услуг (работ), в общем объеме средств бюджета автономного округа, выделяемых на предоставление услуг в сфере образования, на уровне 15%.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15. Увеличение доли негосударственных, в том числе некоммерческих, организаций, предоставляющих услуги в сфере образования, в общем числе организаций, предоставляющих услуги в сфере образования с 4,33% до 6%.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16. Увеличение доли граждан, получивших услуги в негосударственных, в том числе некоммерческих, организациях, в общем числе граждан, получивших услуги в сфере образования, с 1,84% до 5%.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17. Увеличение доли педагогических работников, прошедших добровольную независимую оценку профессиональной квалификации, с 0,2% до 10%.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18. Увеличение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- НКО), нарастающим итогом с 2019 года с 0,003 до 0,023 млн. единиц.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19. Увеличение доли образовательных организаций, расположенных на территории Ханты-Мансийского автономного округа - Югры обеспеченных Интернетом со скоростью соединения не менее 100 Мб/</w:t>
            </w:r>
            <w:proofErr w:type="gramStart"/>
            <w:r w:rsidRPr="000637BB">
              <w:t>с</w:t>
            </w:r>
            <w:proofErr w:type="gramEnd"/>
            <w:r w:rsidRPr="000637BB">
              <w:t xml:space="preserve"> - </w:t>
            </w:r>
            <w:proofErr w:type="gramStart"/>
            <w:r w:rsidRPr="000637BB">
              <w:t>для</w:t>
            </w:r>
            <w:proofErr w:type="gramEnd"/>
            <w:r w:rsidRPr="000637BB">
              <w:t xml:space="preserve"> образовательных организаций, расположенных в городах, 50 Мб/с - для образовательных организаций, расположенных в сельской местности и поселках городского типа, а также гарантированным интернет-трафиком, с 65% до 100%.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20. Численность педагогических работников, участвующих в реализации образовательных программ, включающих основы финансовой грамотности, с 3400 чел. до 4000 чел.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21. Увеличение числа созданных новых мест в общеобразовательных организациях, расположенных в сельской местности и поселках городского типа, нарастающим итогом к 2024 году с 390 мест до 5512 мест</w:t>
            </w:r>
            <w:proofErr w:type="gramStart"/>
            <w:r w:rsidRPr="000637BB">
              <w:t>..</w:t>
            </w:r>
            <w:proofErr w:type="gramEnd"/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22. Повышение уровня образования, с 60,11% до 61,5%.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lastRenderedPageBreak/>
              <w:t>Сроки реализации 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0637BB">
              <w:t>2019 - 2025 и на период до 2030 года</w:t>
            </w:r>
          </w:p>
        </w:tc>
      </w:tr>
      <w:tr w:rsidR="00B16B40" w:rsidRPr="000637BB" w:rsidTr="000672D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0637BB" w:rsidRDefault="00B16B40" w:rsidP="00B41DED">
            <w:pPr>
              <w:pStyle w:val="ConsPlusNormal"/>
            </w:pPr>
            <w:r w:rsidRPr="000637BB">
              <w:t xml:space="preserve">Параметры финансового обеспечения </w:t>
            </w:r>
            <w:r w:rsidRPr="000637BB">
              <w:lastRenderedPageBreak/>
              <w:t>государственной программы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lastRenderedPageBreak/>
              <w:t>общий объем финансирования государственной программы составляет 942 083 608,46 тыс. рублей, в том числе:</w:t>
            </w:r>
          </w:p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lastRenderedPageBreak/>
              <w:t>2019 год – 71</w:t>
            </w:r>
            <w:r w:rsidR="002C140B" w:rsidRPr="002C140B">
              <w:t xml:space="preserve"> </w:t>
            </w:r>
            <w:r w:rsidRPr="002C140B">
              <w:t>747</w:t>
            </w:r>
            <w:r w:rsidR="002C140B" w:rsidRPr="002C140B">
              <w:t xml:space="preserve"> </w:t>
            </w:r>
            <w:r w:rsidRPr="002C140B">
              <w:t>607,30 тыс. рублей;</w:t>
            </w:r>
          </w:p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t>2020 год – 82 305 053,50 тыс. рублей;</w:t>
            </w:r>
          </w:p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t>2021 год – 79</w:t>
            </w:r>
            <w:r w:rsidR="002C140B">
              <w:t xml:space="preserve"> </w:t>
            </w:r>
            <w:r w:rsidRPr="002C140B">
              <w:t>028</w:t>
            </w:r>
            <w:r w:rsidR="002C140B">
              <w:t xml:space="preserve"> </w:t>
            </w:r>
            <w:r w:rsidRPr="002C140B">
              <w:t>150,80 тыс. рублей;</w:t>
            </w:r>
          </w:p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t>2022 год – 81 727 425,30 тыс. рублей;</w:t>
            </w:r>
          </w:p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t>2023 год – 82 528 521,67 тыс. рублей;</w:t>
            </w:r>
          </w:p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t>2024 год – 78 870 884,67 тыс. рублей;</w:t>
            </w:r>
          </w:p>
          <w:p w:rsidR="00B16B40" w:rsidRPr="002C140B" w:rsidRDefault="00B16B40" w:rsidP="00B41DED">
            <w:pPr>
              <w:pStyle w:val="ConsPlusNormal"/>
              <w:spacing w:line="256" w:lineRule="auto"/>
              <w:ind w:firstLine="283"/>
            </w:pPr>
            <w:r w:rsidRPr="002C140B">
              <w:t>2025 год – 78 546 979,17 тыс. рублей;</w:t>
            </w:r>
          </w:p>
          <w:p w:rsidR="00B16B40" w:rsidRPr="000637BB" w:rsidRDefault="00B16B40" w:rsidP="00B41DED">
            <w:pPr>
              <w:pStyle w:val="ConsPlusNormal"/>
              <w:ind w:firstLine="283"/>
              <w:jc w:val="both"/>
            </w:pPr>
            <w:r w:rsidRPr="002C140B">
              <w:t>2026 - 2030 годы – 387</w:t>
            </w:r>
            <w:r w:rsidR="002C140B">
              <w:t xml:space="preserve"> </w:t>
            </w:r>
            <w:r w:rsidRPr="002C140B">
              <w:t>328</w:t>
            </w:r>
            <w:r w:rsidR="002C140B">
              <w:t xml:space="preserve"> </w:t>
            </w:r>
            <w:r w:rsidRPr="002C140B">
              <w:t>986,05 тыс. рублей</w:t>
            </w:r>
          </w:p>
        </w:tc>
      </w:tr>
    </w:tbl>
    <w:p w:rsidR="008C02FA" w:rsidRDefault="008C02FA"/>
    <w:sectPr w:rsidR="008C02FA" w:rsidSect="003816AD">
      <w:headerReference w:type="default" r:id="rId7"/>
      <w:pgSz w:w="11906" w:h="16838"/>
      <w:pgMar w:top="1134" w:right="850" w:bottom="1134" w:left="1701" w:header="708" w:footer="708" w:gutter="0"/>
      <w:pgNumType w:start="28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6AD" w:rsidRDefault="003816AD" w:rsidP="003816AD">
      <w:pPr>
        <w:spacing w:after="0" w:line="240" w:lineRule="auto"/>
      </w:pPr>
      <w:r>
        <w:separator/>
      </w:r>
    </w:p>
  </w:endnote>
  <w:endnote w:type="continuationSeparator" w:id="0">
    <w:p w:rsidR="003816AD" w:rsidRDefault="003816AD" w:rsidP="00381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6AD" w:rsidRDefault="003816AD" w:rsidP="003816AD">
      <w:pPr>
        <w:spacing w:after="0" w:line="240" w:lineRule="auto"/>
      </w:pPr>
      <w:r>
        <w:separator/>
      </w:r>
    </w:p>
  </w:footnote>
  <w:footnote w:type="continuationSeparator" w:id="0">
    <w:p w:rsidR="003816AD" w:rsidRDefault="003816AD" w:rsidP="003816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225637970"/>
      <w:docPartObj>
        <w:docPartGallery w:val="Page Numbers (Top of Page)"/>
        <w:docPartUnique/>
      </w:docPartObj>
    </w:sdtPr>
    <w:sdtContent>
      <w:p w:rsidR="003816AD" w:rsidRPr="003816AD" w:rsidRDefault="003816A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816AD">
          <w:rPr>
            <w:rFonts w:ascii="Times New Roman" w:hAnsi="Times New Roman"/>
            <w:sz w:val="24"/>
            <w:szCs w:val="24"/>
          </w:rPr>
          <w:fldChar w:fldCharType="begin"/>
        </w:r>
        <w:r w:rsidRPr="003816A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816A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2864</w:t>
        </w:r>
        <w:r w:rsidRPr="003816A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816AD" w:rsidRDefault="003816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0"/>
    <w:rsid w:val="000637BB"/>
    <w:rsid w:val="000672DE"/>
    <w:rsid w:val="002C140B"/>
    <w:rsid w:val="003816AD"/>
    <w:rsid w:val="008C02FA"/>
    <w:rsid w:val="00B1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40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16B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16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81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16A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81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16AD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40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B16B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16B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81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16A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816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16AD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1482</Words>
  <Characters>8451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Паспорт</vt:lpstr>
    </vt:vector>
  </TitlesOfParts>
  <Company/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Нежинская Инна Евгеньевна</dc:creator>
  <cp:lastModifiedBy>Шубная  Юлия  Петровна</cp:lastModifiedBy>
  <cp:revision>5</cp:revision>
  <dcterms:created xsi:type="dcterms:W3CDTF">2019-10-18T04:29:00Z</dcterms:created>
  <dcterms:modified xsi:type="dcterms:W3CDTF">2019-10-21T05:36:00Z</dcterms:modified>
</cp:coreProperties>
</file>